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22ADB" w:rsidRDefault="00B22ADB"/>
    <w:tbl>
      <w:tblPr>
        <w:tblStyle w:val="a1"/>
        <w:tblW w:w="11016"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18"/>
        <w:gridCol w:w="7398"/>
      </w:tblGrid>
      <w:tr w:rsidR="00B22ADB">
        <w:trPr>
          <w:jc w:val="center"/>
        </w:trPr>
        <w:tc>
          <w:tcPr>
            <w:tcW w:w="11016" w:type="dxa"/>
            <w:gridSpan w:val="2"/>
            <w:tcBorders>
              <w:bottom w:val="single" w:sz="4" w:space="0" w:color="000000"/>
            </w:tcBorders>
            <w:shd w:val="clear" w:color="auto" w:fill="C0C0C0"/>
            <w:vAlign w:val="center"/>
          </w:tcPr>
          <w:p w:rsidR="00B22ADB" w:rsidRDefault="00113E27">
            <w:pPr>
              <w:tabs>
                <w:tab w:val="left" w:pos="1995"/>
              </w:tabs>
              <w:rPr>
                <w:rFonts w:ascii="Arial" w:eastAsia="Arial" w:hAnsi="Arial" w:cs="Arial"/>
                <w:sz w:val="20"/>
                <w:szCs w:val="20"/>
              </w:rPr>
            </w:pPr>
            <w:r>
              <w:rPr>
                <w:rFonts w:ascii="Arial" w:eastAsia="Arial" w:hAnsi="Arial" w:cs="Arial"/>
                <w:b/>
                <w:sz w:val="20"/>
                <w:szCs w:val="20"/>
              </w:rPr>
              <w:t xml:space="preserve">General Course Information </w:t>
            </w:r>
          </w:p>
        </w:tc>
      </w:tr>
      <w:tr w:rsidR="00B22ADB">
        <w:trPr>
          <w:jc w:val="center"/>
        </w:trPr>
        <w:tc>
          <w:tcPr>
            <w:tcW w:w="3618" w:type="dxa"/>
            <w:tcBorders>
              <w:bottom w:val="nil"/>
              <w:right w:val="nil"/>
            </w:tcBorders>
          </w:tcPr>
          <w:p w:rsidR="00B22ADB" w:rsidRDefault="00113E27">
            <w:pPr>
              <w:rPr>
                <w:rFonts w:ascii="Arial" w:eastAsia="Arial" w:hAnsi="Arial" w:cs="Arial"/>
                <w:sz w:val="20"/>
                <w:szCs w:val="20"/>
              </w:rPr>
            </w:pPr>
            <w:r>
              <w:rPr>
                <w:rFonts w:ascii="Arial" w:eastAsia="Arial" w:hAnsi="Arial" w:cs="Arial"/>
                <w:sz w:val="20"/>
                <w:szCs w:val="20"/>
              </w:rPr>
              <w:t>Prerequisite(s):</w:t>
            </w:r>
          </w:p>
        </w:tc>
        <w:tc>
          <w:tcPr>
            <w:tcW w:w="7398" w:type="dxa"/>
            <w:tcBorders>
              <w:left w:val="nil"/>
              <w:bottom w:val="nil"/>
            </w:tcBorders>
          </w:tcPr>
          <w:p w:rsidR="00B22ADB" w:rsidRDefault="00113E27">
            <w:pPr>
              <w:rPr>
                <w:rFonts w:ascii="Arial" w:eastAsia="Arial" w:hAnsi="Arial" w:cs="Arial"/>
                <w:sz w:val="20"/>
                <w:szCs w:val="20"/>
              </w:rPr>
            </w:pPr>
            <w:r>
              <w:rPr>
                <w:rFonts w:ascii="Arial" w:eastAsia="Arial" w:hAnsi="Arial" w:cs="Arial"/>
                <w:b/>
                <w:sz w:val="20"/>
                <w:szCs w:val="20"/>
              </w:rPr>
              <w:t xml:space="preserve">Prerequisite: </w:t>
            </w:r>
            <w:r>
              <w:rPr>
                <w:rFonts w:ascii="Arial" w:eastAsia="Arial" w:hAnsi="Arial" w:cs="Arial"/>
                <w:sz w:val="20"/>
                <w:szCs w:val="20"/>
              </w:rPr>
              <w:t>Minimum of 600 hours of French instruction, or equivalent</w:t>
            </w:r>
          </w:p>
        </w:tc>
      </w:tr>
      <w:tr w:rsidR="00B22ADB">
        <w:trPr>
          <w:trHeight w:val="360"/>
          <w:jc w:val="center"/>
        </w:trPr>
        <w:tc>
          <w:tcPr>
            <w:tcW w:w="3618" w:type="dxa"/>
            <w:tcBorders>
              <w:top w:val="nil"/>
              <w:bottom w:val="nil"/>
              <w:right w:val="nil"/>
            </w:tcBorders>
          </w:tcPr>
          <w:p w:rsidR="00B22ADB" w:rsidRDefault="00113E27">
            <w:pPr>
              <w:rPr>
                <w:rFonts w:ascii="Arial" w:eastAsia="Arial" w:hAnsi="Arial" w:cs="Arial"/>
                <w:sz w:val="20"/>
                <w:szCs w:val="20"/>
              </w:rPr>
            </w:pPr>
            <w:r>
              <w:rPr>
                <w:rFonts w:ascii="Arial" w:eastAsia="Arial" w:hAnsi="Arial" w:cs="Arial"/>
                <w:sz w:val="20"/>
                <w:szCs w:val="20"/>
              </w:rPr>
              <w:t>Teacher:</w:t>
            </w:r>
          </w:p>
        </w:tc>
        <w:tc>
          <w:tcPr>
            <w:tcW w:w="7398" w:type="dxa"/>
            <w:tcBorders>
              <w:top w:val="nil"/>
              <w:left w:val="nil"/>
              <w:bottom w:val="nil"/>
            </w:tcBorders>
          </w:tcPr>
          <w:p w:rsidR="00B22ADB" w:rsidRDefault="00113E27">
            <w:pPr>
              <w:rPr>
                <w:rFonts w:ascii="Arial" w:eastAsia="Arial" w:hAnsi="Arial" w:cs="Arial"/>
                <w:sz w:val="20"/>
                <w:szCs w:val="20"/>
              </w:rPr>
            </w:pPr>
            <w:r>
              <w:rPr>
                <w:rFonts w:ascii="Arial" w:eastAsia="Arial" w:hAnsi="Arial" w:cs="Arial"/>
                <w:sz w:val="20"/>
                <w:szCs w:val="20"/>
              </w:rPr>
              <w:t>S. McPhail (stefanie.mcphail@tdsb.on.ca)</w:t>
            </w:r>
          </w:p>
          <w:p w:rsidR="00B22ADB" w:rsidRDefault="00113E27">
            <w:pPr>
              <w:rPr>
                <w:rFonts w:ascii="Arial" w:eastAsia="Arial" w:hAnsi="Arial" w:cs="Arial"/>
                <w:sz w:val="20"/>
                <w:szCs w:val="20"/>
              </w:rPr>
            </w:pPr>
            <w:r>
              <w:rPr>
                <w:rFonts w:ascii="Arial" w:eastAsia="Arial" w:hAnsi="Arial" w:cs="Arial"/>
                <w:sz w:val="20"/>
                <w:szCs w:val="20"/>
              </w:rPr>
              <w:t>J. Warring-Bird (jillian.warringbird@tdsb.on.ca)</w:t>
            </w:r>
          </w:p>
          <w:p w:rsidR="00B22ADB" w:rsidRDefault="00113E27">
            <w:pPr>
              <w:rPr>
                <w:rFonts w:ascii="Arial" w:eastAsia="Arial" w:hAnsi="Arial" w:cs="Arial"/>
                <w:sz w:val="20"/>
                <w:szCs w:val="20"/>
              </w:rPr>
            </w:pPr>
            <w:r>
              <w:rPr>
                <w:rFonts w:ascii="Arial" w:eastAsia="Arial" w:hAnsi="Arial" w:cs="Arial"/>
                <w:sz w:val="20"/>
                <w:szCs w:val="20"/>
              </w:rPr>
              <w:t>R. Khan (</w:t>
            </w:r>
            <w:hyperlink r:id="rId8" w:history="1">
              <w:r w:rsidR="002B19B9" w:rsidRPr="0033697A">
                <w:rPr>
                  <w:rStyle w:val="Hyperlink"/>
                  <w:rFonts w:ascii="Arial" w:eastAsia="Arial" w:hAnsi="Arial" w:cs="Arial"/>
                  <w:sz w:val="20"/>
                  <w:szCs w:val="20"/>
                </w:rPr>
                <w:t>rubina.khan@tdsb.on.ca</w:t>
              </w:r>
            </w:hyperlink>
            <w:r w:rsidR="002B19B9">
              <w:rPr>
                <w:rFonts w:ascii="Arial" w:eastAsia="Arial" w:hAnsi="Arial" w:cs="Arial"/>
                <w:sz w:val="20"/>
                <w:szCs w:val="20"/>
              </w:rPr>
              <w:t>; mskhan.wikispaces.com</w:t>
            </w:r>
            <w:r>
              <w:rPr>
                <w:rFonts w:ascii="Arial" w:eastAsia="Arial" w:hAnsi="Arial" w:cs="Arial"/>
                <w:sz w:val="20"/>
                <w:szCs w:val="20"/>
              </w:rPr>
              <w:t xml:space="preserve">) </w:t>
            </w:r>
          </w:p>
          <w:p w:rsidR="00B22ADB" w:rsidRDefault="00B22ADB">
            <w:pPr>
              <w:rPr>
                <w:rFonts w:ascii="Arial" w:eastAsia="Arial" w:hAnsi="Arial" w:cs="Arial"/>
                <w:sz w:val="20"/>
                <w:szCs w:val="20"/>
              </w:rPr>
            </w:pPr>
          </w:p>
        </w:tc>
      </w:tr>
      <w:tr w:rsidR="00B22ADB">
        <w:trPr>
          <w:jc w:val="center"/>
        </w:trPr>
        <w:tc>
          <w:tcPr>
            <w:tcW w:w="3618" w:type="dxa"/>
            <w:tcBorders>
              <w:top w:val="nil"/>
              <w:bottom w:val="nil"/>
              <w:right w:val="nil"/>
            </w:tcBorders>
          </w:tcPr>
          <w:p w:rsidR="00B22ADB" w:rsidRDefault="00113E27">
            <w:pPr>
              <w:rPr>
                <w:rFonts w:ascii="Arial" w:eastAsia="Arial" w:hAnsi="Arial" w:cs="Arial"/>
                <w:sz w:val="20"/>
                <w:szCs w:val="20"/>
              </w:rPr>
            </w:pPr>
            <w:r>
              <w:rPr>
                <w:rFonts w:ascii="Arial" w:eastAsia="Arial" w:hAnsi="Arial" w:cs="Arial"/>
                <w:sz w:val="20"/>
                <w:szCs w:val="20"/>
              </w:rPr>
              <w:t>Department:</w:t>
            </w:r>
          </w:p>
        </w:tc>
        <w:tc>
          <w:tcPr>
            <w:tcW w:w="7398" w:type="dxa"/>
            <w:tcBorders>
              <w:top w:val="nil"/>
              <w:left w:val="nil"/>
              <w:bottom w:val="nil"/>
            </w:tcBorders>
          </w:tcPr>
          <w:p w:rsidR="00B22ADB" w:rsidRDefault="00113E27">
            <w:pPr>
              <w:rPr>
                <w:rFonts w:ascii="Arial" w:eastAsia="Arial" w:hAnsi="Arial" w:cs="Arial"/>
                <w:sz w:val="20"/>
                <w:szCs w:val="20"/>
              </w:rPr>
            </w:pPr>
            <w:r>
              <w:rPr>
                <w:rFonts w:ascii="Arial" w:eastAsia="Arial" w:hAnsi="Arial" w:cs="Arial"/>
                <w:sz w:val="20"/>
                <w:szCs w:val="20"/>
              </w:rPr>
              <w:t>Modern Languages</w:t>
            </w:r>
          </w:p>
        </w:tc>
      </w:tr>
      <w:tr w:rsidR="00B22ADB">
        <w:trPr>
          <w:jc w:val="center"/>
        </w:trPr>
        <w:tc>
          <w:tcPr>
            <w:tcW w:w="3618" w:type="dxa"/>
            <w:tcBorders>
              <w:top w:val="nil"/>
              <w:bottom w:val="nil"/>
              <w:right w:val="nil"/>
            </w:tcBorders>
          </w:tcPr>
          <w:p w:rsidR="00B22ADB" w:rsidRDefault="00113E27">
            <w:pPr>
              <w:rPr>
                <w:rFonts w:ascii="Arial" w:eastAsia="Arial" w:hAnsi="Arial" w:cs="Arial"/>
                <w:sz w:val="20"/>
                <w:szCs w:val="20"/>
              </w:rPr>
            </w:pPr>
            <w:r>
              <w:rPr>
                <w:rFonts w:ascii="Arial" w:eastAsia="Arial" w:hAnsi="Arial" w:cs="Arial"/>
                <w:sz w:val="20"/>
                <w:szCs w:val="20"/>
              </w:rPr>
              <w:t>Assistant Curriculum Leader:</w:t>
            </w:r>
          </w:p>
        </w:tc>
        <w:tc>
          <w:tcPr>
            <w:tcW w:w="7398" w:type="dxa"/>
            <w:tcBorders>
              <w:top w:val="nil"/>
              <w:left w:val="nil"/>
              <w:bottom w:val="nil"/>
            </w:tcBorders>
          </w:tcPr>
          <w:p w:rsidR="00B22ADB" w:rsidRDefault="00113E27">
            <w:pPr>
              <w:rPr>
                <w:rFonts w:ascii="Arial" w:eastAsia="Arial" w:hAnsi="Arial" w:cs="Arial"/>
                <w:sz w:val="20"/>
                <w:szCs w:val="20"/>
              </w:rPr>
            </w:pPr>
            <w:proofErr w:type="spellStart"/>
            <w:r>
              <w:rPr>
                <w:rFonts w:ascii="Arial" w:eastAsia="Arial" w:hAnsi="Arial" w:cs="Arial"/>
                <w:sz w:val="20"/>
                <w:szCs w:val="20"/>
              </w:rPr>
              <w:t>A.Lainas</w:t>
            </w:r>
            <w:proofErr w:type="spellEnd"/>
            <w:r>
              <w:rPr>
                <w:rFonts w:ascii="Arial" w:eastAsia="Arial" w:hAnsi="Arial" w:cs="Arial"/>
                <w:sz w:val="20"/>
                <w:szCs w:val="20"/>
              </w:rPr>
              <w:t>-Hayward</w:t>
            </w:r>
          </w:p>
        </w:tc>
      </w:tr>
      <w:tr w:rsidR="00B22ADB">
        <w:trPr>
          <w:jc w:val="center"/>
        </w:trPr>
        <w:tc>
          <w:tcPr>
            <w:tcW w:w="3618" w:type="dxa"/>
            <w:tcBorders>
              <w:top w:val="nil"/>
              <w:bottom w:val="nil"/>
              <w:right w:val="nil"/>
            </w:tcBorders>
          </w:tcPr>
          <w:p w:rsidR="00B22ADB" w:rsidRDefault="00113E27">
            <w:pPr>
              <w:rPr>
                <w:rFonts w:ascii="Arial" w:eastAsia="Arial" w:hAnsi="Arial" w:cs="Arial"/>
                <w:sz w:val="20"/>
                <w:szCs w:val="20"/>
              </w:rPr>
            </w:pPr>
            <w:r>
              <w:rPr>
                <w:rFonts w:ascii="Arial" w:eastAsia="Arial" w:hAnsi="Arial" w:cs="Arial"/>
                <w:sz w:val="20"/>
                <w:szCs w:val="20"/>
              </w:rPr>
              <w:t>Extra Help:</w:t>
            </w:r>
          </w:p>
        </w:tc>
        <w:tc>
          <w:tcPr>
            <w:tcW w:w="7398" w:type="dxa"/>
            <w:tcBorders>
              <w:top w:val="nil"/>
              <w:left w:val="nil"/>
              <w:bottom w:val="nil"/>
            </w:tcBorders>
          </w:tcPr>
          <w:p w:rsidR="00B22ADB" w:rsidRDefault="00113E27">
            <w:pPr>
              <w:rPr>
                <w:rFonts w:ascii="Arial" w:eastAsia="Arial" w:hAnsi="Arial" w:cs="Arial"/>
                <w:sz w:val="20"/>
                <w:szCs w:val="20"/>
              </w:rPr>
            </w:pPr>
            <w:r>
              <w:rPr>
                <w:rFonts w:ascii="Arial" w:eastAsia="Arial" w:hAnsi="Arial" w:cs="Arial"/>
                <w:sz w:val="20"/>
                <w:szCs w:val="20"/>
              </w:rPr>
              <w:t>Available upon request</w:t>
            </w:r>
          </w:p>
        </w:tc>
      </w:tr>
      <w:tr w:rsidR="00B22ADB">
        <w:trPr>
          <w:jc w:val="center"/>
        </w:trPr>
        <w:tc>
          <w:tcPr>
            <w:tcW w:w="3618" w:type="dxa"/>
            <w:tcBorders>
              <w:top w:val="nil"/>
              <w:bottom w:val="nil"/>
              <w:right w:val="nil"/>
            </w:tcBorders>
          </w:tcPr>
          <w:p w:rsidR="00B22ADB" w:rsidRDefault="00113E27">
            <w:pPr>
              <w:rPr>
                <w:rFonts w:ascii="Arial" w:eastAsia="Arial" w:hAnsi="Arial" w:cs="Arial"/>
                <w:sz w:val="20"/>
                <w:szCs w:val="20"/>
              </w:rPr>
            </w:pPr>
            <w:r>
              <w:rPr>
                <w:rFonts w:ascii="Arial" w:eastAsia="Arial" w:hAnsi="Arial" w:cs="Arial"/>
                <w:sz w:val="20"/>
                <w:szCs w:val="20"/>
              </w:rPr>
              <w:t>Textbook and Replacement Cost:</w:t>
            </w:r>
          </w:p>
        </w:tc>
        <w:tc>
          <w:tcPr>
            <w:tcW w:w="7398" w:type="dxa"/>
            <w:tcBorders>
              <w:top w:val="nil"/>
              <w:left w:val="nil"/>
              <w:bottom w:val="nil"/>
            </w:tcBorders>
          </w:tcPr>
          <w:p w:rsidR="00B22ADB" w:rsidRDefault="00113E27">
            <w:pPr>
              <w:rPr>
                <w:rFonts w:ascii="Arial" w:eastAsia="Arial" w:hAnsi="Arial" w:cs="Arial"/>
                <w:sz w:val="20"/>
                <w:szCs w:val="20"/>
              </w:rPr>
            </w:pPr>
            <w:proofErr w:type="spellStart"/>
            <w:r>
              <w:rPr>
                <w:rFonts w:ascii="Arial" w:eastAsia="Arial" w:hAnsi="Arial" w:cs="Arial"/>
                <w:sz w:val="20"/>
                <w:szCs w:val="20"/>
              </w:rPr>
              <w:t>Anthologie</w:t>
            </w:r>
            <w:proofErr w:type="spellEnd"/>
            <w:r>
              <w:rPr>
                <w:rFonts w:ascii="Arial" w:eastAsia="Arial" w:hAnsi="Arial" w:cs="Arial"/>
                <w:sz w:val="20"/>
                <w:szCs w:val="20"/>
              </w:rPr>
              <w:t xml:space="preserve">: </w:t>
            </w:r>
            <w:proofErr w:type="spellStart"/>
            <w:r>
              <w:rPr>
                <w:rFonts w:ascii="Arial" w:eastAsia="Arial" w:hAnsi="Arial" w:cs="Arial"/>
                <w:sz w:val="20"/>
                <w:szCs w:val="20"/>
              </w:rPr>
              <w:t>Nouvelles</w:t>
            </w:r>
            <w:proofErr w:type="spellEnd"/>
            <w:r>
              <w:rPr>
                <w:rFonts w:ascii="Arial" w:eastAsia="Arial" w:hAnsi="Arial" w:cs="Arial"/>
                <w:sz w:val="20"/>
                <w:szCs w:val="20"/>
              </w:rPr>
              <w:t xml:space="preserve"> </w:t>
            </w:r>
            <w:proofErr w:type="spellStart"/>
            <w:r>
              <w:rPr>
                <w:rFonts w:ascii="Arial" w:eastAsia="Arial" w:hAnsi="Arial" w:cs="Arial"/>
                <w:sz w:val="20"/>
                <w:szCs w:val="20"/>
              </w:rPr>
              <w:t>frontières</w:t>
            </w:r>
            <w:proofErr w:type="spellEnd"/>
            <w:r>
              <w:rPr>
                <w:rFonts w:ascii="Arial" w:eastAsia="Arial" w:hAnsi="Arial" w:cs="Arial"/>
                <w:sz w:val="20"/>
                <w:szCs w:val="20"/>
              </w:rPr>
              <w:t xml:space="preserve"> 9</w:t>
            </w:r>
            <w:r>
              <w:rPr>
                <w:rFonts w:ascii="Arial" w:eastAsia="Arial" w:hAnsi="Arial" w:cs="Arial"/>
                <w:sz w:val="20"/>
                <w:szCs w:val="20"/>
                <w:vertAlign w:val="superscript"/>
              </w:rPr>
              <w:t>e</w:t>
            </w:r>
            <w:r>
              <w:rPr>
                <w:rFonts w:ascii="Arial" w:eastAsia="Arial" w:hAnsi="Arial" w:cs="Arial"/>
                <w:sz w:val="20"/>
                <w:szCs w:val="20"/>
              </w:rPr>
              <w:t xml:space="preserve">   cost $60 if the textbook is lost or damaged</w:t>
            </w:r>
          </w:p>
          <w:p w:rsidR="00B22ADB" w:rsidRDefault="00B22ADB">
            <w:pPr>
              <w:rPr>
                <w:rFonts w:ascii="Arial" w:eastAsia="Arial" w:hAnsi="Arial" w:cs="Arial"/>
                <w:sz w:val="20"/>
                <w:szCs w:val="20"/>
              </w:rPr>
            </w:pPr>
          </w:p>
        </w:tc>
      </w:tr>
      <w:tr w:rsidR="00B22ADB">
        <w:trPr>
          <w:jc w:val="center"/>
        </w:trPr>
        <w:tc>
          <w:tcPr>
            <w:tcW w:w="3618" w:type="dxa"/>
            <w:tcBorders>
              <w:top w:val="nil"/>
              <w:bottom w:val="nil"/>
              <w:right w:val="nil"/>
            </w:tcBorders>
          </w:tcPr>
          <w:p w:rsidR="00B22ADB" w:rsidRDefault="00113E27">
            <w:pPr>
              <w:rPr>
                <w:rFonts w:ascii="Arial" w:eastAsia="Arial" w:hAnsi="Arial" w:cs="Arial"/>
                <w:sz w:val="20"/>
                <w:szCs w:val="20"/>
              </w:rPr>
            </w:pPr>
            <w:r>
              <w:rPr>
                <w:rFonts w:ascii="Arial" w:eastAsia="Arial" w:hAnsi="Arial" w:cs="Arial"/>
                <w:sz w:val="20"/>
                <w:szCs w:val="20"/>
              </w:rPr>
              <w:t>Material Required:</w:t>
            </w:r>
          </w:p>
        </w:tc>
        <w:tc>
          <w:tcPr>
            <w:tcW w:w="7398" w:type="dxa"/>
            <w:tcBorders>
              <w:top w:val="nil"/>
              <w:left w:val="nil"/>
              <w:bottom w:val="nil"/>
            </w:tcBorders>
          </w:tcPr>
          <w:p w:rsidR="00B22ADB" w:rsidRDefault="00113E27">
            <w:pPr>
              <w:rPr>
                <w:rFonts w:ascii="Arial" w:eastAsia="Arial" w:hAnsi="Arial" w:cs="Arial"/>
                <w:sz w:val="20"/>
                <w:szCs w:val="20"/>
              </w:rPr>
            </w:pPr>
            <w:r>
              <w:rPr>
                <w:rFonts w:ascii="Arial" w:eastAsia="Arial" w:hAnsi="Arial" w:cs="Arial"/>
                <w:sz w:val="20"/>
                <w:szCs w:val="20"/>
              </w:rPr>
              <w:t>Notebook or lined paper and pen or pencil.  A small French-English dictionary is useful in this course</w:t>
            </w:r>
          </w:p>
        </w:tc>
      </w:tr>
      <w:tr w:rsidR="00B22ADB">
        <w:trPr>
          <w:jc w:val="center"/>
        </w:trPr>
        <w:tc>
          <w:tcPr>
            <w:tcW w:w="11016" w:type="dxa"/>
            <w:gridSpan w:val="2"/>
            <w:shd w:val="clear" w:color="auto" w:fill="C0C0C0"/>
            <w:vAlign w:val="center"/>
          </w:tcPr>
          <w:p w:rsidR="00B22ADB" w:rsidRDefault="00113E27">
            <w:pPr>
              <w:rPr>
                <w:rFonts w:ascii="Arial" w:eastAsia="Arial" w:hAnsi="Arial" w:cs="Arial"/>
                <w:sz w:val="20"/>
                <w:szCs w:val="20"/>
              </w:rPr>
            </w:pPr>
            <w:r>
              <w:rPr>
                <w:rFonts w:ascii="Arial" w:eastAsia="Arial" w:hAnsi="Arial" w:cs="Arial"/>
                <w:b/>
                <w:sz w:val="20"/>
                <w:szCs w:val="20"/>
              </w:rPr>
              <w:t>Course Description</w:t>
            </w:r>
          </w:p>
        </w:tc>
      </w:tr>
      <w:tr w:rsidR="00B22ADB">
        <w:trPr>
          <w:trHeight w:val="1240"/>
          <w:jc w:val="center"/>
        </w:trPr>
        <w:tc>
          <w:tcPr>
            <w:tcW w:w="11016" w:type="dxa"/>
            <w:gridSpan w:val="2"/>
            <w:tcBorders>
              <w:bottom w:val="nil"/>
            </w:tcBorders>
          </w:tcPr>
          <w:p w:rsidR="00B22ADB" w:rsidRDefault="00113E27">
            <w:pPr>
              <w:spacing w:after="200"/>
              <w:rPr>
                <w:rFonts w:ascii="Arial" w:eastAsia="Arial" w:hAnsi="Arial" w:cs="Arial"/>
                <w:sz w:val="16"/>
                <w:szCs w:val="16"/>
              </w:rPr>
            </w:pPr>
            <w:r>
              <w:rPr>
                <w:rFonts w:ascii="Arial" w:eastAsia="Arial" w:hAnsi="Arial" w:cs="Arial"/>
                <w:sz w:val="20"/>
                <w:szCs w:val="20"/>
              </w:rPr>
              <w:t>This course provides opportunities for students to communicate and interact in French with increasing independence, with a focus on familiar topics related to their daily lives. Students will develop their skills in listening, speaking, reading, and writing by using language learning strategies introduced in the elementary Core French program, and will apply creative and critical thinking skills in various ways. They will also enhance their understanding and appreciation of diverse French-</w:t>
            </w:r>
            <w:bookmarkStart w:id="0" w:name="_GoBack"/>
            <w:bookmarkEnd w:id="0"/>
            <w:r>
              <w:rPr>
                <w:rFonts w:ascii="Arial" w:eastAsia="Arial" w:hAnsi="Arial" w:cs="Arial"/>
                <w:sz w:val="20"/>
                <w:szCs w:val="20"/>
              </w:rPr>
              <w:t xml:space="preserve">speaking communities, and will develop skills necessary for lifelong language learning. </w:t>
            </w:r>
          </w:p>
        </w:tc>
      </w:tr>
      <w:tr w:rsidR="00B22ADB">
        <w:trPr>
          <w:jc w:val="center"/>
        </w:trPr>
        <w:tc>
          <w:tcPr>
            <w:tcW w:w="11016" w:type="dxa"/>
            <w:gridSpan w:val="2"/>
            <w:tcBorders>
              <w:top w:val="nil"/>
            </w:tcBorders>
          </w:tcPr>
          <w:p w:rsidR="00B22ADB" w:rsidRDefault="00B22ADB">
            <w:pPr>
              <w:rPr>
                <w:rFonts w:ascii="Arial" w:eastAsia="Arial" w:hAnsi="Arial" w:cs="Arial"/>
                <w:sz w:val="16"/>
                <w:szCs w:val="16"/>
              </w:rPr>
            </w:pPr>
          </w:p>
        </w:tc>
      </w:tr>
      <w:tr w:rsidR="00B22ADB">
        <w:trPr>
          <w:jc w:val="center"/>
        </w:trPr>
        <w:tc>
          <w:tcPr>
            <w:tcW w:w="11016" w:type="dxa"/>
            <w:gridSpan w:val="2"/>
            <w:shd w:val="clear" w:color="auto" w:fill="C0C0C0"/>
          </w:tcPr>
          <w:p w:rsidR="00B22ADB" w:rsidRDefault="00113E27">
            <w:pPr>
              <w:rPr>
                <w:rFonts w:ascii="Arial" w:eastAsia="Arial" w:hAnsi="Arial" w:cs="Arial"/>
                <w:sz w:val="20"/>
                <w:szCs w:val="20"/>
              </w:rPr>
            </w:pPr>
            <w:r>
              <w:rPr>
                <w:rFonts w:ascii="Arial" w:eastAsia="Arial" w:hAnsi="Arial" w:cs="Arial"/>
                <w:b/>
                <w:sz w:val="20"/>
                <w:szCs w:val="20"/>
              </w:rPr>
              <w:t>Curriculum Expectations</w:t>
            </w:r>
          </w:p>
        </w:tc>
      </w:tr>
      <w:tr w:rsidR="00B22ADB">
        <w:trPr>
          <w:trHeight w:val="3460"/>
          <w:jc w:val="center"/>
        </w:trPr>
        <w:tc>
          <w:tcPr>
            <w:tcW w:w="11016" w:type="dxa"/>
            <w:gridSpan w:val="2"/>
            <w:tcBorders>
              <w:bottom w:val="single" w:sz="4" w:space="0" w:color="000000"/>
            </w:tcBorders>
            <w:vAlign w:val="center"/>
          </w:tcPr>
          <w:p w:rsidR="00B22ADB" w:rsidRDefault="00113E27">
            <w:pPr>
              <w:rPr>
                <w:rFonts w:ascii="Arial" w:eastAsia="Arial" w:hAnsi="Arial" w:cs="Arial"/>
                <w:sz w:val="20"/>
                <w:szCs w:val="20"/>
              </w:rPr>
            </w:pPr>
            <w:r>
              <w:rPr>
                <w:rFonts w:ascii="Arial" w:eastAsia="Arial" w:hAnsi="Arial" w:cs="Arial"/>
                <w:b/>
                <w:sz w:val="20"/>
                <w:szCs w:val="20"/>
              </w:rPr>
              <w:t>Overall expectations: Listening</w:t>
            </w:r>
          </w:p>
          <w:p w:rsidR="00B22ADB" w:rsidRDefault="00113E27">
            <w:pPr>
              <w:spacing w:after="100"/>
              <w:ind w:left="400" w:hanging="400"/>
              <w:rPr>
                <w:rFonts w:ascii="Arial" w:eastAsia="Arial" w:hAnsi="Arial" w:cs="Arial"/>
                <w:sz w:val="20"/>
                <w:szCs w:val="20"/>
              </w:rPr>
            </w:pPr>
            <w:r>
              <w:rPr>
                <w:rFonts w:ascii="Arial" w:eastAsia="Arial" w:hAnsi="Arial" w:cs="Arial"/>
                <w:sz w:val="20"/>
                <w:szCs w:val="20"/>
              </w:rPr>
              <w:t>By the end of the course, students will:</w:t>
            </w:r>
            <w:r>
              <w:rPr>
                <w:rFonts w:ascii="Quattrocento" w:eastAsia="Quattrocento" w:hAnsi="Quattrocento" w:cs="Quattrocento"/>
                <w:sz w:val="19"/>
                <w:szCs w:val="19"/>
              </w:rPr>
              <w:t xml:space="preserve"> </w:t>
            </w:r>
            <w:r>
              <w:rPr>
                <w:rFonts w:ascii="Calibri" w:eastAsia="Calibri" w:hAnsi="Calibri" w:cs="Calibri"/>
                <w:sz w:val="20"/>
                <w:szCs w:val="20"/>
              </w:rPr>
              <w:t>determine meaning in a variety of authentic and adapted oral French texts, using a range of listening strategies; interpret messages accurately while interacting in French for a variety of purposes and with diverse audiences; demonstrate an understanding of information in oral French texts about aspects of culture in diverse French-speaking communities and other communities around the world, and of French sociolinguistic conventions used in a variety of situations and communities.</w:t>
            </w:r>
          </w:p>
          <w:p w:rsidR="00B22ADB" w:rsidRDefault="00113E27">
            <w:pPr>
              <w:rPr>
                <w:rFonts w:ascii="Arial" w:eastAsia="Arial" w:hAnsi="Arial" w:cs="Arial"/>
                <w:sz w:val="20"/>
                <w:szCs w:val="20"/>
              </w:rPr>
            </w:pPr>
            <w:r>
              <w:rPr>
                <w:rFonts w:ascii="Arial" w:eastAsia="Arial" w:hAnsi="Arial" w:cs="Arial"/>
                <w:b/>
                <w:sz w:val="20"/>
                <w:szCs w:val="20"/>
              </w:rPr>
              <w:t>Overall expectations: Speaking</w:t>
            </w:r>
          </w:p>
          <w:p w:rsidR="00B22ADB" w:rsidRDefault="00113E27">
            <w:pPr>
              <w:spacing w:after="100"/>
              <w:ind w:left="400" w:hanging="400"/>
              <w:rPr>
                <w:rFonts w:ascii="Calibri" w:eastAsia="Calibri" w:hAnsi="Calibri" w:cs="Calibri"/>
                <w:sz w:val="20"/>
                <w:szCs w:val="20"/>
              </w:rPr>
            </w:pPr>
            <w:r>
              <w:rPr>
                <w:rFonts w:ascii="Arial" w:eastAsia="Arial" w:hAnsi="Arial" w:cs="Arial"/>
                <w:sz w:val="20"/>
                <w:szCs w:val="20"/>
              </w:rPr>
              <w:t>By the end of the course, students will:</w:t>
            </w:r>
            <w:r>
              <w:rPr>
                <w:rFonts w:ascii="Quattrocento" w:eastAsia="Quattrocento" w:hAnsi="Quattrocento" w:cs="Quattrocento"/>
                <w:sz w:val="19"/>
                <w:szCs w:val="19"/>
              </w:rPr>
              <w:t xml:space="preserve"> </w:t>
            </w:r>
            <w:r>
              <w:rPr>
                <w:rFonts w:ascii="Calibri" w:eastAsia="Calibri" w:hAnsi="Calibri" w:cs="Calibri"/>
                <w:sz w:val="20"/>
                <w:szCs w:val="20"/>
              </w:rPr>
              <w:t>communicate information and ideas orally in French, using a variety of speaking strategies, appropriate language structures, and language appropriate to the purpose and audience; participate in spoken interactions in French for a variety of purposes and with diverse audiences; in their spoken communications, demonstrate an awareness of aspects of culture in diverse French-speaking communities and other communities around the world, and of the appropriate use of French sociolinguistic conventions in a variety of situations.</w:t>
            </w:r>
          </w:p>
          <w:p w:rsidR="00B22ADB" w:rsidRDefault="00113E27">
            <w:pPr>
              <w:rPr>
                <w:rFonts w:ascii="Arial" w:eastAsia="Arial" w:hAnsi="Arial" w:cs="Arial"/>
                <w:sz w:val="20"/>
                <w:szCs w:val="20"/>
              </w:rPr>
            </w:pPr>
            <w:r>
              <w:rPr>
                <w:rFonts w:ascii="Arial" w:eastAsia="Arial" w:hAnsi="Arial" w:cs="Arial"/>
                <w:b/>
                <w:sz w:val="20"/>
                <w:szCs w:val="20"/>
              </w:rPr>
              <w:t>Overall Expectations: Reading</w:t>
            </w:r>
            <w:r>
              <w:rPr>
                <w:rFonts w:ascii="Arial" w:eastAsia="Arial" w:hAnsi="Arial" w:cs="Arial"/>
                <w:sz w:val="20"/>
                <w:szCs w:val="20"/>
              </w:rPr>
              <w:t xml:space="preserve"> </w:t>
            </w:r>
          </w:p>
          <w:p w:rsidR="00B22ADB" w:rsidRDefault="00113E27">
            <w:pPr>
              <w:spacing w:after="100"/>
              <w:ind w:left="400" w:hanging="400"/>
              <w:rPr>
                <w:rFonts w:ascii="Quattrocento" w:eastAsia="Quattrocento" w:hAnsi="Quattrocento" w:cs="Quattrocento"/>
                <w:sz w:val="19"/>
                <w:szCs w:val="19"/>
              </w:rPr>
            </w:pPr>
            <w:r>
              <w:rPr>
                <w:rFonts w:ascii="Arial" w:eastAsia="Arial" w:hAnsi="Arial" w:cs="Arial"/>
                <w:sz w:val="20"/>
                <w:szCs w:val="20"/>
              </w:rPr>
              <w:t>By the end of the course, students will:</w:t>
            </w:r>
            <w:r>
              <w:rPr>
                <w:rFonts w:ascii="Quattrocento" w:eastAsia="Quattrocento" w:hAnsi="Quattrocento" w:cs="Quattrocento"/>
                <w:b/>
                <w:sz w:val="19"/>
                <w:szCs w:val="19"/>
              </w:rPr>
              <w:t xml:space="preserve">: </w:t>
            </w:r>
            <w:r>
              <w:rPr>
                <w:rFonts w:ascii="Calibri" w:eastAsia="Calibri" w:hAnsi="Calibri" w:cs="Calibri"/>
                <w:sz w:val="20"/>
                <w:szCs w:val="20"/>
              </w:rPr>
              <w:t>determine meaning in a variety of authentic and adapted French texts, using a range of reading comprehension strategies; identify the purpose(s), characteristics, and aspects of style of a variety of authentic and adapted text forms in French, including fictional, informational, graphic, and media forms; demonstrate an understanding of information in French texts about aspects of culture in diverse French-speaking communities and other communities around the world, and of French sociolinguistic conventions used in a variety of situations and communities</w:t>
            </w:r>
            <w:r>
              <w:rPr>
                <w:rFonts w:ascii="Quattrocento" w:eastAsia="Quattrocento" w:hAnsi="Quattrocento" w:cs="Quattrocento"/>
                <w:sz w:val="19"/>
                <w:szCs w:val="19"/>
              </w:rPr>
              <w:t xml:space="preserve">. </w:t>
            </w:r>
          </w:p>
          <w:p w:rsidR="00B22ADB" w:rsidRDefault="00113E27">
            <w:pPr>
              <w:rPr>
                <w:rFonts w:ascii="Arial" w:eastAsia="Arial" w:hAnsi="Arial" w:cs="Arial"/>
                <w:sz w:val="20"/>
                <w:szCs w:val="20"/>
              </w:rPr>
            </w:pPr>
            <w:r>
              <w:rPr>
                <w:rFonts w:ascii="Arial" w:eastAsia="Arial" w:hAnsi="Arial" w:cs="Arial"/>
                <w:b/>
                <w:sz w:val="20"/>
                <w:szCs w:val="20"/>
              </w:rPr>
              <w:t>Overall Expectations: Writing</w:t>
            </w:r>
          </w:p>
          <w:p w:rsidR="00B22ADB" w:rsidRDefault="00113E27">
            <w:pPr>
              <w:spacing w:after="100"/>
              <w:ind w:left="400" w:hanging="400"/>
              <w:rPr>
                <w:rFonts w:ascii="Calibri" w:eastAsia="Calibri" w:hAnsi="Calibri" w:cs="Calibri"/>
                <w:sz w:val="20"/>
                <w:szCs w:val="20"/>
              </w:rPr>
            </w:pPr>
            <w:r>
              <w:rPr>
                <w:rFonts w:ascii="Arial" w:eastAsia="Arial" w:hAnsi="Arial" w:cs="Arial"/>
                <w:sz w:val="20"/>
                <w:szCs w:val="20"/>
              </w:rPr>
              <w:t>By the end of this course, students will:</w:t>
            </w:r>
            <w:r>
              <w:rPr>
                <w:rFonts w:ascii="Quattrocento" w:eastAsia="Quattrocento" w:hAnsi="Quattrocento" w:cs="Quattrocento"/>
                <w:sz w:val="19"/>
                <w:szCs w:val="19"/>
              </w:rPr>
              <w:t xml:space="preserve"> w</w:t>
            </w:r>
            <w:r>
              <w:rPr>
                <w:rFonts w:ascii="Calibri" w:eastAsia="Calibri" w:hAnsi="Calibri" w:cs="Calibri"/>
                <w:sz w:val="20"/>
                <w:szCs w:val="20"/>
              </w:rPr>
              <w:t>rite French texts for different purposes and audiences, using a variety of forms and knowledge of language structures and conventions of written French appropriate for this level; use the stages of the writing process – including pre-writing, producing drafts, revising, editing, and publishing – to develop and organize content, clarify ideas and expression, correct errors, and present their work effectively; in their written work, demonstrate an awareness of aspects of culture in diverse French-speaking communities and other communities around the world, and of the appropriate use of French sociolinguistic conventions in a variety of situations.</w:t>
            </w:r>
          </w:p>
        </w:tc>
      </w:tr>
      <w:tr w:rsidR="00B22ADB">
        <w:trPr>
          <w:trHeight w:val="340"/>
          <w:jc w:val="center"/>
        </w:trPr>
        <w:tc>
          <w:tcPr>
            <w:tcW w:w="11016" w:type="dxa"/>
            <w:gridSpan w:val="2"/>
          </w:tcPr>
          <w:p w:rsidR="00B22ADB" w:rsidRDefault="00113E27">
            <w:pPr>
              <w:rPr>
                <w:rFonts w:ascii="Arial" w:eastAsia="Arial" w:hAnsi="Arial" w:cs="Arial"/>
                <w:sz w:val="20"/>
                <w:szCs w:val="20"/>
              </w:rPr>
            </w:pPr>
            <w:r>
              <w:rPr>
                <w:rFonts w:ascii="Arial" w:eastAsia="Arial" w:hAnsi="Arial" w:cs="Arial"/>
                <w:sz w:val="20"/>
                <w:szCs w:val="20"/>
              </w:rPr>
              <w:lastRenderedPageBreak/>
              <w:t xml:space="preserve">For complete curriculum expectations, please visit: </w:t>
            </w:r>
            <w:hyperlink r:id="rId9">
              <w:r>
                <w:rPr>
                  <w:rFonts w:ascii="Arial" w:eastAsia="Arial" w:hAnsi="Arial" w:cs="Arial"/>
                  <w:color w:val="0000FF"/>
                  <w:sz w:val="20"/>
                  <w:szCs w:val="20"/>
                  <w:u w:val="single"/>
                </w:rPr>
                <w:t>https://www.edu.gov.on.ca/eng/curriculum/secondary/fsl912curr2014.pdf</w:t>
              </w:r>
            </w:hyperlink>
            <w:r>
              <w:fldChar w:fldCharType="begin"/>
            </w:r>
            <w:r>
              <w:instrText xml:space="preserve"> HYPERLINK "https://www.edu.gov.on.ca/eng/curriculum/secondary/fsl912curr2014.pdf" </w:instrText>
            </w:r>
            <w:r>
              <w:fldChar w:fldCharType="separate"/>
            </w:r>
          </w:p>
          <w:p w:rsidR="00B22ADB" w:rsidRDefault="00B22ADB">
            <w:pPr>
              <w:rPr>
                <w:rFonts w:ascii="Arial" w:eastAsia="Arial" w:hAnsi="Arial" w:cs="Arial"/>
                <w:sz w:val="20"/>
                <w:szCs w:val="20"/>
              </w:rPr>
            </w:pPr>
          </w:p>
        </w:tc>
      </w:tr>
      <w:tr w:rsidR="00B22ADB">
        <w:trPr>
          <w:jc w:val="center"/>
        </w:trPr>
        <w:tc>
          <w:tcPr>
            <w:tcW w:w="11016" w:type="dxa"/>
            <w:gridSpan w:val="2"/>
            <w:shd w:val="clear" w:color="auto" w:fill="C0C0C0"/>
            <w:vAlign w:val="center"/>
          </w:tcPr>
          <w:p w:rsidR="00B22ADB" w:rsidRDefault="00113E27">
            <w:pPr>
              <w:rPr>
                <w:rFonts w:ascii="Arial" w:eastAsia="Arial" w:hAnsi="Arial" w:cs="Arial"/>
                <w:sz w:val="20"/>
                <w:szCs w:val="20"/>
              </w:rPr>
            </w:pPr>
            <w:r>
              <w:fldChar w:fldCharType="end"/>
            </w:r>
            <w:r>
              <w:rPr>
                <w:rFonts w:ascii="Arial" w:eastAsia="Arial" w:hAnsi="Arial" w:cs="Arial"/>
                <w:b/>
                <w:sz w:val="20"/>
                <w:szCs w:val="20"/>
              </w:rPr>
              <w:t>Course Information:</w:t>
            </w:r>
          </w:p>
        </w:tc>
      </w:tr>
      <w:tr w:rsidR="00B22ADB">
        <w:trPr>
          <w:trHeight w:val="80"/>
          <w:jc w:val="center"/>
        </w:trPr>
        <w:tc>
          <w:tcPr>
            <w:tcW w:w="11016" w:type="dxa"/>
            <w:gridSpan w:val="2"/>
            <w:tcBorders>
              <w:bottom w:val="single" w:sz="4" w:space="0" w:color="000000"/>
            </w:tcBorders>
          </w:tcPr>
          <w:p w:rsidR="00B22ADB" w:rsidRDefault="00113E27">
            <w:pPr>
              <w:rPr>
                <w:rFonts w:ascii="Arial" w:eastAsia="Arial" w:hAnsi="Arial" w:cs="Arial"/>
                <w:sz w:val="20"/>
                <w:szCs w:val="20"/>
              </w:rPr>
            </w:pPr>
            <w:r>
              <w:rPr>
                <w:rFonts w:ascii="Arial" w:eastAsia="Arial" w:hAnsi="Arial" w:cs="Arial"/>
                <w:b/>
                <w:sz w:val="20"/>
                <w:szCs w:val="20"/>
              </w:rPr>
              <w:t>Unit Titles:</w:t>
            </w:r>
          </w:p>
          <w:p w:rsidR="00B22ADB" w:rsidRDefault="00B22ADB">
            <w:pPr>
              <w:rPr>
                <w:rFonts w:ascii="Arial" w:eastAsia="Arial" w:hAnsi="Arial" w:cs="Arial"/>
                <w:sz w:val="20"/>
                <w:szCs w:val="20"/>
              </w:rPr>
            </w:pPr>
          </w:p>
          <w:p w:rsidR="00B22ADB" w:rsidRDefault="00113E27">
            <w:pPr>
              <w:rPr>
                <w:rFonts w:ascii="Arial" w:eastAsia="Arial" w:hAnsi="Arial" w:cs="Arial"/>
                <w:sz w:val="20"/>
                <w:szCs w:val="20"/>
              </w:rPr>
            </w:pPr>
            <w:r>
              <w:rPr>
                <w:rFonts w:ascii="Arial" w:eastAsia="Arial" w:hAnsi="Arial" w:cs="Arial"/>
                <w:b/>
                <w:sz w:val="20"/>
                <w:szCs w:val="20"/>
              </w:rPr>
              <w:t xml:space="preserve">Unit 1: </w:t>
            </w:r>
            <w:proofErr w:type="spellStart"/>
            <w:r>
              <w:rPr>
                <w:rFonts w:ascii="Arial" w:eastAsia="Arial" w:hAnsi="Arial" w:cs="Arial"/>
                <w:b/>
                <w:sz w:val="20"/>
                <w:szCs w:val="20"/>
              </w:rPr>
              <w:t>Révision</w:t>
            </w:r>
            <w:proofErr w:type="spellEnd"/>
            <w:r>
              <w:rPr>
                <w:rFonts w:ascii="Arial" w:eastAsia="Arial" w:hAnsi="Arial" w:cs="Arial"/>
                <w:b/>
                <w:sz w:val="20"/>
                <w:szCs w:val="20"/>
              </w:rPr>
              <w:t xml:space="preserve">/Je me </w:t>
            </w:r>
            <w:proofErr w:type="spellStart"/>
            <w:r>
              <w:rPr>
                <w:rFonts w:ascii="Arial" w:eastAsia="Arial" w:hAnsi="Arial" w:cs="Arial"/>
                <w:b/>
                <w:sz w:val="20"/>
                <w:szCs w:val="20"/>
              </w:rPr>
              <w:t>présente</w:t>
            </w:r>
            <w:proofErr w:type="spellEnd"/>
            <w:r>
              <w:rPr>
                <w:rFonts w:ascii="Arial" w:eastAsia="Arial" w:hAnsi="Arial" w:cs="Arial"/>
                <w:b/>
                <w:sz w:val="20"/>
                <w:szCs w:val="20"/>
              </w:rPr>
              <w:t xml:space="preserve"> </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Students complete a comprehensive review of vocabulary and grammar.</w:t>
            </w:r>
          </w:p>
          <w:p w:rsidR="00B22ADB" w:rsidRDefault="00113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Arial" w:hAnsi="Arial" w:cs="Arial"/>
                <w:sz w:val="20"/>
                <w:szCs w:val="20"/>
              </w:rPr>
            </w:pPr>
            <w:r>
              <w:rPr>
                <w:rFonts w:ascii="Arial" w:eastAsia="Arial" w:hAnsi="Arial" w:cs="Arial"/>
                <w:b/>
                <w:sz w:val="20"/>
                <w:szCs w:val="20"/>
              </w:rPr>
              <w:t>Unit 2: Les Sorties et invitations</w:t>
            </w:r>
            <w:r>
              <w:rPr>
                <w:rFonts w:ascii="Arial" w:eastAsia="Arial" w:hAnsi="Arial" w:cs="Arial"/>
                <w:sz w:val="20"/>
                <w:szCs w:val="20"/>
              </w:rPr>
              <w:t>- Students explore pastimes and leisure activities and how to make plans for various activities in French.</w:t>
            </w:r>
          </w:p>
          <w:p w:rsidR="00B22ADB" w:rsidRDefault="00113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Arial" w:hAnsi="Arial" w:cs="Arial"/>
                <w:sz w:val="20"/>
                <w:szCs w:val="20"/>
              </w:rPr>
            </w:pPr>
            <w:r>
              <w:rPr>
                <w:rFonts w:ascii="Arial" w:eastAsia="Arial" w:hAnsi="Arial" w:cs="Arial"/>
                <w:b/>
                <w:sz w:val="20"/>
                <w:szCs w:val="20"/>
              </w:rPr>
              <w:t xml:space="preserve">Unit 3: Ma </w:t>
            </w:r>
            <w:proofErr w:type="spellStart"/>
            <w:r>
              <w:rPr>
                <w:rFonts w:ascii="Arial" w:eastAsia="Arial" w:hAnsi="Arial" w:cs="Arial"/>
                <w:b/>
                <w:sz w:val="20"/>
                <w:szCs w:val="20"/>
              </w:rPr>
              <w:t>Journée</w:t>
            </w:r>
            <w:proofErr w:type="spellEnd"/>
            <w:r>
              <w:rPr>
                <w:rFonts w:ascii="Arial" w:eastAsia="Arial" w:hAnsi="Arial" w:cs="Arial"/>
                <w:b/>
                <w:sz w:val="20"/>
                <w:szCs w:val="20"/>
              </w:rPr>
              <w:t xml:space="preserve"> </w:t>
            </w:r>
            <w:r>
              <w:rPr>
                <w:rFonts w:ascii="Arial" w:eastAsia="Arial" w:hAnsi="Arial" w:cs="Arial"/>
                <w:sz w:val="20"/>
                <w:szCs w:val="20"/>
              </w:rPr>
              <w:t>- Students talk about their daily and ideal routines.</w:t>
            </w:r>
          </w:p>
          <w:p w:rsidR="00B22ADB" w:rsidRDefault="00113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Arial" w:hAnsi="Arial" w:cs="Arial"/>
                <w:sz w:val="20"/>
                <w:szCs w:val="20"/>
              </w:rPr>
            </w:pPr>
            <w:r>
              <w:rPr>
                <w:rFonts w:ascii="Arial" w:eastAsia="Arial" w:hAnsi="Arial" w:cs="Arial"/>
                <w:b/>
                <w:sz w:val="20"/>
                <w:szCs w:val="20"/>
              </w:rPr>
              <w:t xml:space="preserve">Unit 4: Les </w:t>
            </w:r>
            <w:proofErr w:type="spellStart"/>
            <w:r>
              <w:rPr>
                <w:rFonts w:ascii="Arial" w:eastAsia="Arial" w:hAnsi="Arial" w:cs="Arial"/>
                <w:b/>
                <w:sz w:val="20"/>
                <w:szCs w:val="20"/>
              </w:rPr>
              <w:t>Vacances</w:t>
            </w:r>
            <w:proofErr w:type="spellEnd"/>
            <w:r>
              <w:rPr>
                <w:rFonts w:ascii="Arial" w:eastAsia="Arial" w:hAnsi="Arial" w:cs="Arial"/>
                <w:b/>
                <w:sz w:val="20"/>
                <w:szCs w:val="20"/>
              </w:rPr>
              <w:t xml:space="preserve"> </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Students will learn travel vocabulary and discuss past and future vacations.</w:t>
            </w:r>
          </w:p>
          <w:p w:rsidR="00B22ADB" w:rsidRDefault="00B22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Arial" w:hAnsi="Arial" w:cs="Arial"/>
                <w:sz w:val="20"/>
                <w:szCs w:val="20"/>
              </w:rPr>
            </w:pPr>
          </w:p>
          <w:p w:rsidR="00B22ADB" w:rsidRDefault="00113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Arial" w:hAnsi="Arial" w:cs="Arial"/>
                <w:sz w:val="20"/>
                <w:szCs w:val="20"/>
              </w:rPr>
            </w:pPr>
            <w:r>
              <w:rPr>
                <w:rFonts w:ascii="Arial" w:eastAsia="Arial" w:hAnsi="Arial" w:cs="Arial"/>
                <w:sz w:val="20"/>
                <w:szCs w:val="20"/>
              </w:rPr>
              <w:t xml:space="preserve">Grammar will be taught in context throughout each unit. </w:t>
            </w:r>
          </w:p>
        </w:tc>
      </w:tr>
      <w:tr w:rsidR="00B22ADB">
        <w:trPr>
          <w:jc w:val="center"/>
        </w:trPr>
        <w:tc>
          <w:tcPr>
            <w:tcW w:w="11016" w:type="dxa"/>
            <w:gridSpan w:val="2"/>
            <w:tcBorders>
              <w:left w:val="single" w:sz="4" w:space="0" w:color="000000"/>
              <w:bottom w:val="single" w:sz="4" w:space="0" w:color="000000"/>
              <w:right w:val="single" w:sz="4" w:space="0" w:color="000000"/>
            </w:tcBorders>
            <w:shd w:val="clear" w:color="auto" w:fill="C0C0C0"/>
          </w:tcPr>
          <w:p w:rsidR="00B22ADB" w:rsidRDefault="00113E27">
            <w:r>
              <w:rPr>
                <w:rFonts w:ascii="Arial" w:eastAsia="Arial" w:hAnsi="Arial" w:cs="Arial"/>
                <w:b/>
                <w:sz w:val="20"/>
                <w:szCs w:val="20"/>
              </w:rPr>
              <w:t>Assessment and Evaluation:</w:t>
            </w:r>
          </w:p>
        </w:tc>
      </w:tr>
      <w:tr w:rsidR="00B22ADB">
        <w:trPr>
          <w:jc w:val="center"/>
        </w:trPr>
        <w:tc>
          <w:tcPr>
            <w:tcW w:w="11016" w:type="dxa"/>
            <w:gridSpan w:val="2"/>
            <w:tcBorders>
              <w:top w:val="single" w:sz="4" w:space="0" w:color="000000"/>
              <w:left w:val="single" w:sz="4" w:space="0" w:color="000000"/>
              <w:bottom w:val="single" w:sz="4" w:space="0" w:color="000000"/>
              <w:right w:val="single" w:sz="4" w:space="0" w:color="000000"/>
            </w:tcBorders>
          </w:tcPr>
          <w:p w:rsidR="00B22ADB" w:rsidRDefault="00113E27">
            <w:pPr>
              <w:rPr>
                <w:rFonts w:ascii="Arial" w:eastAsia="Arial" w:hAnsi="Arial" w:cs="Arial"/>
                <w:sz w:val="20"/>
                <w:szCs w:val="20"/>
              </w:rPr>
            </w:pPr>
            <w:r>
              <w:rPr>
                <w:rFonts w:ascii="Arial" w:eastAsia="Arial" w:hAnsi="Arial" w:cs="Arial"/>
                <w:sz w:val="20"/>
                <w:szCs w:val="20"/>
              </w:rPr>
              <w:t>To promote student success, ongoing assessment and feedback is given regularly to the students.  A variety of assessment and evaluation strategies are used in this course.  Expectations are evaluated based on the provincial curriculum expectations and the strands and/or categories outlined in the ministry document.</w:t>
            </w:r>
          </w:p>
          <w:p w:rsidR="00B22ADB" w:rsidRDefault="00113E27">
            <w:pPr>
              <w:rPr>
                <w:rFonts w:ascii="Arial" w:eastAsia="Arial" w:hAnsi="Arial" w:cs="Arial"/>
                <w:sz w:val="20"/>
                <w:szCs w:val="20"/>
              </w:rPr>
            </w:pPr>
            <w:r>
              <w:rPr>
                <w:rFonts w:ascii="Arial" w:eastAsia="Arial" w:hAnsi="Arial" w:cs="Arial"/>
                <w:sz w:val="20"/>
                <w:szCs w:val="20"/>
              </w:rPr>
              <w:t xml:space="preserve"> </w:t>
            </w:r>
          </w:p>
          <w:p w:rsidR="00B22ADB" w:rsidRDefault="00113E27">
            <w:pPr>
              <w:rPr>
                <w:rFonts w:ascii="Arial" w:eastAsia="Arial" w:hAnsi="Arial" w:cs="Arial"/>
                <w:sz w:val="20"/>
                <w:szCs w:val="20"/>
              </w:rPr>
            </w:pPr>
            <w:r>
              <w:rPr>
                <w:rFonts w:ascii="Arial" w:eastAsia="Arial" w:hAnsi="Arial" w:cs="Arial"/>
                <w:b/>
                <w:sz w:val="20"/>
                <w:szCs w:val="20"/>
              </w:rPr>
              <w:t xml:space="preserve">The four strands used in the core French classroom are: listening, speaking, reading, and writing.  Students’ overall marks are calculated and reported using the four strands.  Many assignments and activities integrate two or three of the strands. </w:t>
            </w:r>
          </w:p>
          <w:p w:rsidR="00B22ADB" w:rsidRDefault="00B22ADB">
            <w:pPr>
              <w:rPr>
                <w:rFonts w:ascii="Arial" w:eastAsia="Arial" w:hAnsi="Arial" w:cs="Arial"/>
                <w:sz w:val="16"/>
                <w:szCs w:val="16"/>
              </w:rPr>
            </w:pPr>
          </w:p>
          <w:p w:rsidR="00B22ADB" w:rsidRDefault="00B22ADB">
            <w:pPr>
              <w:rPr>
                <w:rFonts w:ascii="Arial" w:eastAsia="Arial" w:hAnsi="Arial" w:cs="Arial"/>
                <w:sz w:val="16"/>
                <w:szCs w:val="16"/>
              </w:rPr>
            </w:pPr>
          </w:p>
          <w:p w:rsidR="00B22ADB" w:rsidRDefault="00113E27">
            <w:pPr>
              <w:rPr>
                <w:rFonts w:ascii="Arial" w:eastAsia="Arial" w:hAnsi="Arial" w:cs="Arial"/>
                <w:sz w:val="20"/>
                <w:szCs w:val="20"/>
              </w:rPr>
            </w:pPr>
            <w:r>
              <w:rPr>
                <w:rFonts w:ascii="Arial" w:eastAsia="Arial" w:hAnsi="Arial" w:cs="Arial"/>
                <w:sz w:val="20"/>
                <w:szCs w:val="20"/>
              </w:rPr>
              <w:t>Each student’s term mark will be in the form of a percentage grade based on their achievement in the strands:</w:t>
            </w:r>
          </w:p>
          <w:p w:rsidR="00B22ADB" w:rsidRDefault="00B22ADB">
            <w:pPr>
              <w:rPr>
                <w:rFonts w:ascii="Arial" w:eastAsia="Arial" w:hAnsi="Arial" w:cs="Arial"/>
                <w:sz w:val="20"/>
                <w:szCs w:val="20"/>
              </w:rPr>
            </w:pPr>
          </w:p>
          <w:tbl>
            <w:tblPr>
              <w:tblStyle w:val="a"/>
              <w:tblW w:w="8289"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39"/>
              <w:gridCol w:w="4050"/>
            </w:tblGrid>
            <w:tr w:rsidR="00B22ADB">
              <w:tc>
                <w:tcPr>
                  <w:tcW w:w="4239" w:type="dxa"/>
                </w:tcPr>
                <w:p w:rsidR="00B22ADB" w:rsidRDefault="00113E27">
                  <w:pPr>
                    <w:rPr>
                      <w:rFonts w:ascii="Arial" w:eastAsia="Arial" w:hAnsi="Arial" w:cs="Arial"/>
                      <w:sz w:val="20"/>
                      <w:szCs w:val="20"/>
                    </w:rPr>
                  </w:pPr>
                  <w:r>
                    <w:rPr>
                      <w:rFonts w:ascii="Arial" w:eastAsia="Arial" w:hAnsi="Arial" w:cs="Arial"/>
                      <w:sz w:val="20"/>
                      <w:szCs w:val="20"/>
                    </w:rPr>
                    <w:t>Speaking</w:t>
                  </w:r>
                </w:p>
              </w:tc>
              <w:tc>
                <w:tcPr>
                  <w:tcW w:w="4050" w:type="dxa"/>
                </w:tcPr>
                <w:p w:rsidR="00B22ADB" w:rsidRDefault="00113E27">
                  <w:pPr>
                    <w:rPr>
                      <w:rFonts w:ascii="Arial" w:eastAsia="Arial" w:hAnsi="Arial" w:cs="Arial"/>
                      <w:sz w:val="20"/>
                      <w:szCs w:val="20"/>
                    </w:rPr>
                  </w:pPr>
                  <w:r>
                    <w:rPr>
                      <w:rFonts w:ascii="Arial" w:eastAsia="Arial" w:hAnsi="Arial" w:cs="Arial"/>
                      <w:sz w:val="20"/>
                      <w:szCs w:val="20"/>
                    </w:rPr>
                    <w:t>30%</w:t>
                  </w:r>
                </w:p>
              </w:tc>
            </w:tr>
            <w:tr w:rsidR="00B22ADB">
              <w:tc>
                <w:tcPr>
                  <w:tcW w:w="4239" w:type="dxa"/>
                </w:tcPr>
                <w:p w:rsidR="00B22ADB" w:rsidRDefault="00113E27">
                  <w:pPr>
                    <w:rPr>
                      <w:rFonts w:ascii="Arial" w:eastAsia="Arial" w:hAnsi="Arial" w:cs="Arial"/>
                      <w:sz w:val="20"/>
                      <w:szCs w:val="20"/>
                    </w:rPr>
                  </w:pPr>
                  <w:r>
                    <w:rPr>
                      <w:rFonts w:ascii="Arial" w:eastAsia="Arial" w:hAnsi="Arial" w:cs="Arial"/>
                      <w:sz w:val="20"/>
                      <w:szCs w:val="20"/>
                    </w:rPr>
                    <w:t>Listening</w:t>
                  </w:r>
                </w:p>
              </w:tc>
              <w:tc>
                <w:tcPr>
                  <w:tcW w:w="4050" w:type="dxa"/>
                </w:tcPr>
                <w:p w:rsidR="00B22ADB" w:rsidRDefault="00113E27">
                  <w:pPr>
                    <w:rPr>
                      <w:rFonts w:ascii="Arial" w:eastAsia="Arial" w:hAnsi="Arial" w:cs="Arial"/>
                      <w:sz w:val="20"/>
                      <w:szCs w:val="20"/>
                    </w:rPr>
                  </w:pPr>
                  <w:r>
                    <w:rPr>
                      <w:rFonts w:ascii="Arial" w:eastAsia="Arial" w:hAnsi="Arial" w:cs="Arial"/>
                      <w:sz w:val="20"/>
                      <w:szCs w:val="20"/>
                    </w:rPr>
                    <w:t>30%</w:t>
                  </w:r>
                </w:p>
              </w:tc>
            </w:tr>
            <w:tr w:rsidR="00B22ADB">
              <w:tc>
                <w:tcPr>
                  <w:tcW w:w="4239" w:type="dxa"/>
                </w:tcPr>
                <w:p w:rsidR="00B22ADB" w:rsidRDefault="00113E27">
                  <w:pPr>
                    <w:rPr>
                      <w:rFonts w:ascii="Arial" w:eastAsia="Arial" w:hAnsi="Arial" w:cs="Arial"/>
                      <w:sz w:val="20"/>
                      <w:szCs w:val="20"/>
                    </w:rPr>
                  </w:pPr>
                  <w:r>
                    <w:rPr>
                      <w:rFonts w:ascii="Arial" w:eastAsia="Arial" w:hAnsi="Arial" w:cs="Arial"/>
                      <w:sz w:val="20"/>
                      <w:szCs w:val="20"/>
                    </w:rPr>
                    <w:t>Reading</w:t>
                  </w:r>
                </w:p>
              </w:tc>
              <w:tc>
                <w:tcPr>
                  <w:tcW w:w="4050" w:type="dxa"/>
                </w:tcPr>
                <w:p w:rsidR="00B22ADB" w:rsidRDefault="00113E27">
                  <w:pPr>
                    <w:rPr>
                      <w:rFonts w:ascii="Arial" w:eastAsia="Arial" w:hAnsi="Arial" w:cs="Arial"/>
                      <w:sz w:val="20"/>
                      <w:szCs w:val="20"/>
                    </w:rPr>
                  </w:pPr>
                  <w:r>
                    <w:rPr>
                      <w:rFonts w:ascii="Arial" w:eastAsia="Arial" w:hAnsi="Arial" w:cs="Arial"/>
                      <w:sz w:val="20"/>
                      <w:szCs w:val="20"/>
                    </w:rPr>
                    <w:t>20%</w:t>
                  </w:r>
                </w:p>
              </w:tc>
            </w:tr>
            <w:tr w:rsidR="00B22ADB">
              <w:tc>
                <w:tcPr>
                  <w:tcW w:w="4239" w:type="dxa"/>
                </w:tcPr>
                <w:p w:rsidR="00B22ADB" w:rsidRDefault="00113E27">
                  <w:pPr>
                    <w:rPr>
                      <w:rFonts w:ascii="Arial" w:eastAsia="Arial" w:hAnsi="Arial" w:cs="Arial"/>
                      <w:sz w:val="20"/>
                      <w:szCs w:val="20"/>
                    </w:rPr>
                  </w:pPr>
                  <w:r>
                    <w:rPr>
                      <w:rFonts w:ascii="Arial" w:eastAsia="Arial" w:hAnsi="Arial" w:cs="Arial"/>
                      <w:sz w:val="20"/>
                      <w:szCs w:val="20"/>
                    </w:rPr>
                    <w:t>Writing</w:t>
                  </w:r>
                </w:p>
              </w:tc>
              <w:tc>
                <w:tcPr>
                  <w:tcW w:w="4050" w:type="dxa"/>
                </w:tcPr>
                <w:p w:rsidR="00B22ADB" w:rsidRDefault="00113E27">
                  <w:pPr>
                    <w:rPr>
                      <w:rFonts w:ascii="Arial" w:eastAsia="Arial" w:hAnsi="Arial" w:cs="Arial"/>
                      <w:sz w:val="20"/>
                      <w:szCs w:val="20"/>
                    </w:rPr>
                  </w:pPr>
                  <w:r>
                    <w:rPr>
                      <w:rFonts w:ascii="Arial" w:eastAsia="Arial" w:hAnsi="Arial" w:cs="Arial"/>
                      <w:sz w:val="20"/>
                      <w:szCs w:val="20"/>
                    </w:rPr>
                    <w:t>20%</w:t>
                  </w:r>
                </w:p>
              </w:tc>
            </w:tr>
          </w:tbl>
          <w:p w:rsidR="00B22ADB" w:rsidRDefault="00B22ADB">
            <w:pPr>
              <w:rPr>
                <w:rFonts w:ascii="Arial" w:eastAsia="Arial" w:hAnsi="Arial" w:cs="Arial"/>
                <w:sz w:val="20"/>
                <w:szCs w:val="20"/>
              </w:rPr>
            </w:pPr>
          </w:p>
          <w:p w:rsidR="00B22ADB" w:rsidRDefault="00113E27">
            <w:pPr>
              <w:rPr>
                <w:rFonts w:ascii="Arial" w:eastAsia="Arial" w:hAnsi="Arial" w:cs="Arial"/>
                <w:sz w:val="20"/>
                <w:szCs w:val="20"/>
              </w:rPr>
            </w:pPr>
            <w:r>
              <w:rPr>
                <w:rFonts w:ascii="Arial" w:eastAsia="Arial" w:hAnsi="Arial" w:cs="Arial"/>
                <w:sz w:val="20"/>
                <w:szCs w:val="20"/>
              </w:rPr>
              <w:t xml:space="preserve"> The breakdown of the final mark is as follows:</w:t>
            </w:r>
          </w:p>
          <w:p w:rsidR="00B22ADB" w:rsidRDefault="00B22ADB">
            <w:pPr>
              <w:rPr>
                <w:rFonts w:ascii="Arial" w:eastAsia="Arial" w:hAnsi="Arial" w:cs="Arial"/>
                <w:sz w:val="20"/>
                <w:szCs w:val="20"/>
              </w:rPr>
            </w:pPr>
          </w:p>
          <w:tbl>
            <w:tblPr>
              <w:tblStyle w:val="a0"/>
              <w:tblW w:w="4968"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32"/>
              <w:gridCol w:w="1336"/>
            </w:tblGrid>
            <w:tr w:rsidR="00B22ADB">
              <w:tc>
                <w:tcPr>
                  <w:tcW w:w="3632" w:type="dxa"/>
                </w:tcPr>
                <w:p w:rsidR="00B22ADB" w:rsidRDefault="00113E27">
                  <w:pPr>
                    <w:rPr>
                      <w:rFonts w:ascii="Arial" w:eastAsia="Arial" w:hAnsi="Arial" w:cs="Arial"/>
                      <w:sz w:val="20"/>
                      <w:szCs w:val="20"/>
                    </w:rPr>
                  </w:pPr>
                  <w:r>
                    <w:rPr>
                      <w:rFonts w:ascii="Arial" w:eastAsia="Arial" w:hAnsi="Arial" w:cs="Arial"/>
                      <w:sz w:val="20"/>
                      <w:szCs w:val="20"/>
                    </w:rPr>
                    <w:t>Term Evaluation</w:t>
                  </w:r>
                </w:p>
              </w:tc>
              <w:tc>
                <w:tcPr>
                  <w:tcW w:w="1336" w:type="dxa"/>
                </w:tcPr>
                <w:p w:rsidR="00B22ADB" w:rsidRDefault="00113E27">
                  <w:pPr>
                    <w:rPr>
                      <w:rFonts w:ascii="Arial" w:eastAsia="Arial" w:hAnsi="Arial" w:cs="Arial"/>
                      <w:sz w:val="20"/>
                      <w:szCs w:val="20"/>
                    </w:rPr>
                  </w:pPr>
                  <w:r>
                    <w:rPr>
                      <w:rFonts w:ascii="Arial" w:eastAsia="Arial" w:hAnsi="Arial" w:cs="Arial"/>
                      <w:sz w:val="20"/>
                      <w:szCs w:val="20"/>
                    </w:rPr>
                    <w:t>70%</w:t>
                  </w:r>
                </w:p>
              </w:tc>
            </w:tr>
            <w:tr w:rsidR="00B22ADB">
              <w:tc>
                <w:tcPr>
                  <w:tcW w:w="3632" w:type="dxa"/>
                </w:tcPr>
                <w:p w:rsidR="00B22ADB" w:rsidRDefault="00113E27">
                  <w:pPr>
                    <w:rPr>
                      <w:rFonts w:ascii="Arial" w:eastAsia="Arial" w:hAnsi="Arial" w:cs="Arial"/>
                      <w:sz w:val="20"/>
                      <w:szCs w:val="20"/>
                    </w:rPr>
                  </w:pPr>
                  <w:r>
                    <w:rPr>
                      <w:rFonts w:ascii="Arial" w:eastAsia="Arial" w:hAnsi="Arial" w:cs="Arial"/>
                      <w:sz w:val="20"/>
                      <w:szCs w:val="20"/>
                    </w:rPr>
                    <w:t>Final Evaluation</w:t>
                  </w:r>
                </w:p>
              </w:tc>
              <w:tc>
                <w:tcPr>
                  <w:tcW w:w="1336" w:type="dxa"/>
                </w:tcPr>
                <w:p w:rsidR="00B22ADB" w:rsidRDefault="00113E27">
                  <w:pPr>
                    <w:rPr>
                      <w:rFonts w:ascii="Arial" w:eastAsia="Arial" w:hAnsi="Arial" w:cs="Arial"/>
                      <w:sz w:val="20"/>
                      <w:szCs w:val="20"/>
                    </w:rPr>
                  </w:pPr>
                  <w:r>
                    <w:rPr>
                      <w:rFonts w:ascii="Arial" w:eastAsia="Arial" w:hAnsi="Arial" w:cs="Arial"/>
                      <w:sz w:val="20"/>
                      <w:szCs w:val="20"/>
                    </w:rPr>
                    <w:t>30%</w:t>
                  </w:r>
                </w:p>
              </w:tc>
            </w:tr>
          </w:tbl>
          <w:p w:rsidR="00B22ADB" w:rsidRDefault="00B22ADB">
            <w:pPr>
              <w:rPr>
                <w:rFonts w:ascii="Arial" w:eastAsia="Arial" w:hAnsi="Arial" w:cs="Arial"/>
                <w:sz w:val="16"/>
                <w:szCs w:val="16"/>
              </w:rPr>
            </w:pPr>
          </w:p>
          <w:p w:rsidR="00B22ADB" w:rsidRDefault="00113E27">
            <w:pPr>
              <w:rPr>
                <w:rFonts w:ascii="Arial" w:eastAsia="Arial" w:hAnsi="Arial" w:cs="Arial"/>
                <w:sz w:val="20"/>
                <w:szCs w:val="20"/>
              </w:rPr>
            </w:pPr>
            <w:r>
              <w:rPr>
                <w:rFonts w:ascii="Arial" w:eastAsia="Arial" w:hAnsi="Arial" w:cs="Arial"/>
                <w:i/>
                <w:sz w:val="20"/>
                <w:szCs w:val="20"/>
              </w:rPr>
              <w:t>The final evaluation/culminating activities will be completed during the final 6 weeks of the course and may include a variety of summative activities including a presentation or an oral interview, a listening examination component and an examination with reading and writing sections.</w:t>
            </w:r>
          </w:p>
          <w:p w:rsidR="00B22ADB" w:rsidRDefault="00B22ADB">
            <w:pPr>
              <w:rPr>
                <w:rFonts w:ascii="Arial" w:eastAsia="Arial" w:hAnsi="Arial" w:cs="Arial"/>
                <w:sz w:val="20"/>
                <w:szCs w:val="20"/>
              </w:rPr>
            </w:pPr>
          </w:p>
          <w:p w:rsidR="00B22ADB" w:rsidRDefault="00113E27">
            <w:pPr>
              <w:rPr>
                <w:rFonts w:ascii="Arial" w:eastAsia="Arial" w:hAnsi="Arial" w:cs="Arial"/>
                <w:sz w:val="20"/>
                <w:szCs w:val="20"/>
              </w:rPr>
            </w:pPr>
            <w:r>
              <w:rPr>
                <w:rFonts w:ascii="Arial" w:eastAsia="Arial" w:hAnsi="Arial" w:cs="Arial"/>
                <w:sz w:val="20"/>
                <w:szCs w:val="20"/>
              </w:rPr>
              <w:t>In addition to students’ performance in the achievement categories, students will also be assessed on their performance in the following learning skills:</w:t>
            </w:r>
          </w:p>
          <w:p w:rsidR="00B22ADB" w:rsidRDefault="00113E27">
            <w:pPr>
              <w:numPr>
                <w:ilvl w:val="0"/>
                <w:numId w:val="1"/>
              </w:numPr>
              <w:ind w:left="360" w:firstLine="0"/>
            </w:pPr>
            <w:r>
              <w:rPr>
                <w:rFonts w:ascii="Arial" w:eastAsia="Arial" w:hAnsi="Arial" w:cs="Arial"/>
                <w:sz w:val="20"/>
                <w:szCs w:val="20"/>
              </w:rPr>
              <w:t>Responsibility</w:t>
            </w:r>
          </w:p>
          <w:p w:rsidR="00B22ADB" w:rsidRDefault="00113E27">
            <w:pPr>
              <w:numPr>
                <w:ilvl w:val="0"/>
                <w:numId w:val="1"/>
              </w:numPr>
              <w:ind w:left="360" w:firstLine="0"/>
            </w:pPr>
            <w:r>
              <w:rPr>
                <w:rFonts w:ascii="Arial" w:eastAsia="Arial" w:hAnsi="Arial" w:cs="Arial"/>
                <w:sz w:val="20"/>
                <w:szCs w:val="20"/>
              </w:rPr>
              <w:t>Organization</w:t>
            </w:r>
          </w:p>
          <w:p w:rsidR="00B22ADB" w:rsidRDefault="00113E27">
            <w:pPr>
              <w:numPr>
                <w:ilvl w:val="0"/>
                <w:numId w:val="1"/>
              </w:numPr>
              <w:ind w:left="360" w:firstLine="0"/>
            </w:pPr>
            <w:r>
              <w:rPr>
                <w:rFonts w:ascii="Arial" w:eastAsia="Arial" w:hAnsi="Arial" w:cs="Arial"/>
                <w:sz w:val="20"/>
                <w:szCs w:val="20"/>
              </w:rPr>
              <w:t>Independent Work</w:t>
            </w:r>
          </w:p>
          <w:p w:rsidR="00B22ADB" w:rsidRDefault="00113E27">
            <w:pPr>
              <w:numPr>
                <w:ilvl w:val="0"/>
                <w:numId w:val="1"/>
              </w:numPr>
              <w:ind w:left="360" w:firstLine="0"/>
            </w:pPr>
            <w:r>
              <w:rPr>
                <w:rFonts w:ascii="Arial" w:eastAsia="Arial" w:hAnsi="Arial" w:cs="Arial"/>
                <w:sz w:val="20"/>
                <w:szCs w:val="20"/>
              </w:rPr>
              <w:t>Collaboration</w:t>
            </w:r>
          </w:p>
          <w:p w:rsidR="00B22ADB" w:rsidRDefault="00113E27">
            <w:pPr>
              <w:numPr>
                <w:ilvl w:val="0"/>
                <w:numId w:val="1"/>
              </w:numPr>
              <w:ind w:left="360" w:firstLine="0"/>
            </w:pPr>
            <w:r>
              <w:rPr>
                <w:rFonts w:ascii="Arial" w:eastAsia="Arial" w:hAnsi="Arial" w:cs="Arial"/>
                <w:sz w:val="20"/>
                <w:szCs w:val="20"/>
              </w:rPr>
              <w:t>Initiative</w:t>
            </w:r>
          </w:p>
          <w:p w:rsidR="00B22ADB" w:rsidRDefault="00113E27">
            <w:pPr>
              <w:numPr>
                <w:ilvl w:val="0"/>
                <w:numId w:val="1"/>
              </w:numPr>
              <w:ind w:left="360" w:firstLine="0"/>
            </w:pPr>
            <w:r>
              <w:rPr>
                <w:rFonts w:ascii="Arial" w:eastAsia="Arial" w:hAnsi="Arial" w:cs="Arial"/>
                <w:sz w:val="20"/>
                <w:szCs w:val="20"/>
              </w:rPr>
              <w:t>Self-Regulation</w:t>
            </w:r>
          </w:p>
          <w:p w:rsidR="00B22ADB" w:rsidRDefault="00113E27">
            <w:r>
              <w:rPr>
                <w:rFonts w:ascii="Arial" w:eastAsia="Arial" w:hAnsi="Arial" w:cs="Arial"/>
                <w:i/>
                <w:sz w:val="20"/>
                <w:szCs w:val="20"/>
              </w:rPr>
              <w:t>For specific policies on Assessment and Evaluation, and Academic Honesty, please refer to School Procedures in the Student Agenda.</w:t>
            </w:r>
          </w:p>
        </w:tc>
      </w:tr>
    </w:tbl>
    <w:p w:rsidR="00B22ADB" w:rsidRDefault="00B22ADB"/>
    <w:sectPr w:rsidR="00B22ADB">
      <w:headerReference w:type="default" r:id="rId10"/>
      <w:footerReference w:type="default" r:id="rId11"/>
      <w:pgSz w:w="12240" w:h="15840"/>
      <w:pgMar w:top="576" w:right="720" w:bottom="835" w:left="72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BD6" w:rsidRDefault="00C81BD6">
      <w:r>
        <w:separator/>
      </w:r>
    </w:p>
  </w:endnote>
  <w:endnote w:type="continuationSeparator" w:id="0">
    <w:p w:rsidR="00C81BD6" w:rsidRDefault="00C81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Arabia">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DB" w:rsidRDefault="00113E27">
    <w:pPr>
      <w:tabs>
        <w:tab w:val="center" w:pos="4320"/>
        <w:tab w:val="right" w:pos="8640"/>
      </w:tabs>
      <w:jc w:val="right"/>
    </w:pPr>
    <w:r>
      <w:fldChar w:fldCharType="begin"/>
    </w:r>
    <w:r>
      <w:instrText>PAGE</w:instrText>
    </w:r>
    <w:r>
      <w:fldChar w:fldCharType="separate"/>
    </w:r>
    <w:r w:rsidR="00CA0357">
      <w:rPr>
        <w:noProof/>
      </w:rPr>
      <w:t>1</w:t>
    </w:r>
    <w:r>
      <w:fldChar w:fldCharType="end"/>
    </w:r>
  </w:p>
  <w:p w:rsidR="00B22ADB" w:rsidRDefault="00B22ADB">
    <w:pPr>
      <w:tabs>
        <w:tab w:val="center" w:pos="4320"/>
        <w:tab w:val="right" w:pos="8640"/>
      </w:tabs>
      <w:spacing w:after="70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BD6" w:rsidRDefault="00C81BD6">
      <w:r>
        <w:separator/>
      </w:r>
    </w:p>
  </w:footnote>
  <w:footnote w:type="continuationSeparator" w:id="0">
    <w:p w:rsidR="00C81BD6" w:rsidRDefault="00C81B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DB" w:rsidRDefault="00B22ADB">
    <w:pPr>
      <w:widowControl w:val="0"/>
      <w:spacing w:line="276" w:lineRule="auto"/>
    </w:pPr>
  </w:p>
  <w:tbl>
    <w:tblPr>
      <w:tblStyle w:val="a2"/>
      <w:tblW w:w="10998"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04"/>
      <w:gridCol w:w="8994"/>
    </w:tblGrid>
    <w:tr w:rsidR="00B22ADB">
      <w:trPr>
        <w:jc w:val="center"/>
      </w:trPr>
      <w:tc>
        <w:tcPr>
          <w:tcW w:w="2004" w:type="dxa"/>
          <w:tcBorders>
            <w:top w:val="nil"/>
            <w:left w:val="nil"/>
            <w:bottom w:val="nil"/>
            <w:right w:val="nil"/>
          </w:tcBorders>
        </w:tcPr>
        <w:p w:rsidR="00B22ADB" w:rsidRDefault="00113E27">
          <w:pPr>
            <w:spacing w:before="706"/>
            <w:rPr>
              <w:rFonts w:ascii="Arabia" w:eastAsia="Arabia" w:hAnsi="Arabia" w:cs="Arabia"/>
              <w:sz w:val="56"/>
              <w:szCs w:val="56"/>
            </w:rPr>
          </w:pPr>
          <w:r>
            <w:rPr>
              <w:noProof/>
            </w:rPr>
            <w:drawing>
              <wp:anchor distT="0" distB="0" distL="114300" distR="114300" simplePos="0" relativeHeight="251658240" behindDoc="0" locked="0" layoutInCell="1" hidden="0" allowOverlap="1">
                <wp:simplePos x="0" y="0"/>
                <wp:positionH relativeFrom="margin">
                  <wp:posOffset>108585</wp:posOffset>
                </wp:positionH>
                <wp:positionV relativeFrom="paragraph">
                  <wp:posOffset>31750</wp:posOffset>
                </wp:positionV>
                <wp:extent cx="685800" cy="63055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85800" cy="630555"/>
                        </a:xfrm>
                        <a:prstGeom prst="rect">
                          <a:avLst/>
                        </a:prstGeom>
                        <a:ln/>
                      </pic:spPr>
                    </pic:pic>
                  </a:graphicData>
                </a:graphic>
              </wp:anchor>
            </w:drawing>
          </w:r>
        </w:p>
      </w:tc>
      <w:tc>
        <w:tcPr>
          <w:tcW w:w="8994" w:type="dxa"/>
          <w:tcBorders>
            <w:top w:val="nil"/>
            <w:left w:val="nil"/>
            <w:bottom w:val="nil"/>
            <w:right w:val="nil"/>
          </w:tcBorders>
          <w:vAlign w:val="center"/>
        </w:tcPr>
        <w:p w:rsidR="00B22ADB" w:rsidRDefault="00113E27">
          <w:pPr>
            <w:spacing w:before="706"/>
            <w:jc w:val="center"/>
            <w:rPr>
              <w:rFonts w:ascii="Arial" w:eastAsia="Arial" w:hAnsi="Arial" w:cs="Arial"/>
              <w:sz w:val="20"/>
              <w:szCs w:val="20"/>
            </w:rPr>
          </w:pPr>
          <w:r>
            <w:rPr>
              <w:rFonts w:ascii="Arial" w:eastAsia="Arial" w:hAnsi="Arial" w:cs="Arial"/>
              <w:b/>
              <w:sz w:val="20"/>
              <w:szCs w:val="20"/>
            </w:rPr>
            <w:t>FSF 1D-Grade 9 Academic French</w:t>
          </w:r>
        </w:p>
        <w:p w:rsidR="00B22ADB" w:rsidRDefault="00113E27">
          <w:pPr>
            <w:jc w:val="center"/>
            <w:rPr>
              <w:rFonts w:ascii="Arial" w:eastAsia="Arial" w:hAnsi="Arial" w:cs="Arial"/>
              <w:sz w:val="28"/>
              <w:szCs w:val="28"/>
            </w:rPr>
          </w:pPr>
          <w:r>
            <w:rPr>
              <w:rFonts w:ascii="Arial" w:eastAsia="Arial" w:hAnsi="Arial" w:cs="Arial"/>
              <w:b/>
            </w:rPr>
            <w:t>2017-2018</w:t>
          </w:r>
        </w:p>
      </w:tc>
    </w:tr>
  </w:tbl>
  <w:p w:rsidR="00B22ADB" w:rsidRDefault="00B22ADB">
    <w:pPr>
      <w:tabs>
        <w:tab w:val="center" w:pos="4320"/>
        <w:tab w:val="right" w:pos="8640"/>
      </w:tabs>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56CDC"/>
    <w:multiLevelType w:val="multilevel"/>
    <w:tmpl w:val="F7DA1680"/>
    <w:lvl w:ilvl="0">
      <w:start w:val="1"/>
      <w:numFmt w:val="bullet"/>
      <w:lvlText w:val="●"/>
      <w:lvlJc w:val="left"/>
      <w:pPr>
        <w:ind w:left="720" w:hanging="360"/>
      </w:pPr>
      <w:rPr>
        <w:rFonts w:ascii="Arial" w:eastAsia="Arial" w:hAnsi="Arial" w:cs="Arial"/>
        <w:b w:val="0"/>
        <w:i w:val="0"/>
        <w:sz w:val="24"/>
        <w:szCs w:val="24"/>
        <w:vertAlign w:val="baseline"/>
      </w:rPr>
    </w:lvl>
    <w:lvl w:ilvl="1">
      <w:start w:val="1"/>
      <w:numFmt w:val="bullet"/>
      <w:lvlText w:val="o"/>
      <w:lvlJc w:val="left"/>
      <w:pPr>
        <w:ind w:left="1030" w:hanging="360"/>
      </w:pPr>
      <w:rPr>
        <w:rFonts w:ascii="Arial" w:eastAsia="Arial" w:hAnsi="Arial" w:cs="Arial"/>
        <w:vertAlign w:val="baseline"/>
      </w:rPr>
    </w:lvl>
    <w:lvl w:ilvl="2">
      <w:start w:val="1"/>
      <w:numFmt w:val="bullet"/>
      <w:lvlText w:val="▪"/>
      <w:lvlJc w:val="left"/>
      <w:pPr>
        <w:ind w:left="1750" w:hanging="360"/>
      </w:pPr>
      <w:rPr>
        <w:rFonts w:ascii="Arial" w:eastAsia="Arial" w:hAnsi="Arial" w:cs="Arial"/>
        <w:vertAlign w:val="baseline"/>
      </w:rPr>
    </w:lvl>
    <w:lvl w:ilvl="3">
      <w:start w:val="1"/>
      <w:numFmt w:val="bullet"/>
      <w:lvlText w:val="●"/>
      <w:lvlJc w:val="left"/>
      <w:pPr>
        <w:ind w:left="2470" w:hanging="360"/>
      </w:pPr>
      <w:rPr>
        <w:rFonts w:ascii="Arial" w:eastAsia="Arial" w:hAnsi="Arial" w:cs="Arial"/>
        <w:vertAlign w:val="baseline"/>
      </w:rPr>
    </w:lvl>
    <w:lvl w:ilvl="4">
      <w:start w:val="1"/>
      <w:numFmt w:val="bullet"/>
      <w:lvlText w:val="o"/>
      <w:lvlJc w:val="left"/>
      <w:pPr>
        <w:ind w:left="3190" w:hanging="360"/>
      </w:pPr>
      <w:rPr>
        <w:rFonts w:ascii="Arial" w:eastAsia="Arial" w:hAnsi="Arial" w:cs="Arial"/>
        <w:vertAlign w:val="baseline"/>
      </w:rPr>
    </w:lvl>
    <w:lvl w:ilvl="5">
      <w:start w:val="1"/>
      <w:numFmt w:val="bullet"/>
      <w:lvlText w:val="▪"/>
      <w:lvlJc w:val="left"/>
      <w:pPr>
        <w:ind w:left="3910" w:hanging="360"/>
      </w:pPr>
      <w:rPr>
        <w:rFonts w:ascii="Arial" w:eastAsia="Arial" w:hAnsi="Arial" w:cs="Arial"/>
        <w:vertAlign w:val="baseline"/>
      </w:rPr>
    </w:lvl>
    <w:lvl w:ilvl="6">
      <w:start w:val="1"/>
      <w:numFmt w:val="bullet"/>
      <w:lvlText w:val="●"/>
      <w:lvlJc w:val="left"/>
      <w:pPr>
        <w:ind w:left="4630" w:hanging="360"/>
      </w:pPr>
      <w:rPr>
        <w:rFonts w:ascii="Arial" w:eastAsia="Arial" w:hAnsi="Arial" w:cs="Arial"/>
        <w:vertAlign w:val="baseline"/>
      </w:rPr>
    </w:lvl>
    <w:lvl w:ilvl="7">
      <w:start w:val="1"/>
      <w:numFmt w:val="bullet"/>
      <w:lvlText w:val="o"/>
      <w:lvlJc w:val="left"/>
      <w:pPr>
        <w:ind w:left="5350" w:hanging="360"/>
      </w:pPr>
      <w:rPr>
        <w:rFonts w:ascii="Arial" w:eastAsia="Arial" w:hAnsi="Arial" w:cs="Arial"/>
        <w:vertAlign w:val="baseline"/>
      </w:rPr>
    </w:lvl>
    <w:lvl w:ilvl="8">
      <w:start w:val="1"/>
      <w:numFmt w:val="bullet"/>
      <w:lvlText w:val="▪"/>
      <w:lvlJc w:val="left"/>
      <w:pPr>
        <w:ind w:left="6070" w:hanging="360"/>
      </w:pPr>
      <w:rPr>
        <w:rFonts w:ascii="Arial" w:eastAsia="Arial" w:hAnsi="Arial" w:cs="Arial"/>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22ADB"/>
    <w:rsid w:val="00113E27"/>
    <w:rsid w:val="002B19B9"/>
    <w:rsid w:val="00B22ADB"/>
    <w:rsid w:val="00C81BD6"/>
    <w:rsid w:val="00CA0357"/>
    <w:rsid w:val="00D627D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CA" w:eastAsia="en-CA"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Hyperlink">
    <w:name w:val="Hyperlink"/>
    <w:basedOn w:val="DefaultParagraphFont"/>
    <w:uiPriority w:val="99"/>
    <w:unhideWhenUsed/>
    <w:rsid w:val="002B19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CA" w:eastAsia="en-CA"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Hyperlink">
    <w:name w:val="Hyperlink"/>
    <w:basedOn w:val="DefaultParagraphFont"/>
    <w:uiPriority w:val="99"/>
    <w:unhideWhenUsed/>
    <w:rsid w:val="002B19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bina.khan@tdsb.on.c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du.gov.on.ca/eng/curriculum/secondary/fsl912curr20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918</Words>
  <Characters>5238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McPhail, Stefanie</dc:creator>
  <cp:lastModifiedBy>Khan, Rubina</cp:lastModifiedBy>
  <cp:revision>4</cp:revision>
  <cp:lastPrinted>2018-02-01T15:34:00Z</cp:lastPrinted>
  <dcterms:created xsi:type="dcterms:W3CDTF">2018-02-01T15:33:00Z</dcterms:created>
  <dcterms:modified xsi:type="dcterms:W3CDTF">2018-02-01T15:40:00Z</dcterms:modified>
</cp:coreProperties>
</file>